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D13" w:rsidRPr="006B759D" w:rsidRDefault="001A5D13" w:rsidP="001A5D13">
      <w:pPr>
        <w:jc w:val="right"/>
      </w:pPr>
      <w:bookmarkStart w:id="0" w:name="_GoBack"/>
      <w:bookmarkEnd w:id="0"/>
      <w:r>
        <w:t xml:space="preserve">Приложение 6.1. </w:t>
      </w:r>
      <w:r>
        <w:br/>
        <w:t>к Регламенту оказания ООО «ББР БРОКЕР» брокерских услуг</w:t>
      </w:r>
      <w:r>
        <w:br/>
        <w:t xml:space="preserve"> для кредитных организаций</w:t>
      </w:r>
    </w:p>
    <w:p w:rsidR="00D26A5C" w:rsidRPr="0012143D" w:rsidRDefault="00D26A5C" w:rsidP="00A1100E"/>
    <w:p w:rsidR="001A6440" w:rsidRPr="0012143D" w:rsidRDefault="001A6440" w:rsidP="00A1100E">
      <w:pPr>
        <w:jc w:val="center"/>
        <w:rPr>
          <w:b/>
        </w:rPr>
      </w:pPr>
      <w:r w:rsidRPr="0012143D">
        <w:rPr>
          <w:b/>
        </w:rPr>
        <w:t>У</w:t>
      </w:r>
      <w:r w:rsidR="00A1100E" w:rsidRPr="0012143D">
        <w:rPr>
          <w:b/>
        </w:rPr>
        <w:t>ведомление об использовании специального брокерского счёта</w:t>
      </w:r>
    </w:p>
    <w:p w:rsidR="001A6440" w:rsidRPr="0012143D" w:rsidRDefault="00C5274D" w:rsidP="00A1100E">
      <w:pPr>
        <w:ind w:firstLine="567"/>
      </w:pPr>
      <w:r w:rsidRPr="0012143D">
        <w:t xml:space="preserve">ООО «ББР БРОКЕР» </w:t>
      </w:r>
      <w:r w:rsidR="00A1100E" w:rsidRPr="0012143D">
        <w:t>(далее -</w:t>
      </w:r>
      <w:r w:rsidR="001A6440" w:rsidRPr="0012143D">
        <w:t xml:space="preserve"> «Брокер»</w:t>
      </w:r>
      <w:r w:rsidR="00A1100E" w:rsidRPr="0012143D">
        <w:t>)</w:t>
      </w:r>
      <w:r w:rsidR="001A6440" w:rsidRPr="0012143D">
        <w:t>, уведомляет Клиента о следующем:</w:t>
      </w:r>
    </w:p>
    <w:p w:rsidR="001A6440" w:rsidRPr="0012143D" w:rsidRDefault="00A1100E" w:rsidP="00A1100E">
      <w:pPr>
        <w:ind w:firstLine="567"/>
      </w:pPr>
      <w:r w:rsidRPr="0012143D">
        <w:rPr>
          <w:b/>
        </w:rPr>
        <w:t>1.</w:t>
      </w:r>
      <w:r w:rsidRPr="0012143D">
        <w:t> </w:t>
      </w:r>
      <w:r w:rsidR="001A6440" w:rsidRPr="0012143D">
        <w:t>Денежные средства Клиента будут находиться на специальном брокерском счете (счетах) вместе со средствами других клиентов Брокера.</w:t>
      </w:r>
    </w:p>
    <w:p w:rsidR="001A6440" w:rsidRPr="0012143D" w:rsidRDefault="00A1100E" w:rsidP="00A1100E">
      <w:pPr>
        <w:ind w:firstLine="567"/>
      </w:pPr>
      <w:r w:rsidRPr="0012143D">
        <w:rPr>
          <w:b/>
        </w:rPr>
        <w:t>2.</w:t>
      </w:r>
      <w:r w:rsidRPr="0012143D">
        <w:t> </w:t>
      </w:r>
      <w:r w:rsidR="001A6440" w:rsidRPr="0012143D">
        <w:t xml:space="preserve">Для хранения денежных средств Клиента отдельно от денежных средств других клиентов Брокер может открыть отдельный специальный брокерский счет </w:t>
      </w:r>
      <w:r w:rsidR="00EF456A" w:rsidRPr="0012143D">
        <w:t xml:space="preserve">(Счёт) </w:t>
      </w:r>
      <w:r w:rsidR="001A6440" w:rsidRPr="0012143D">
        <w:t>в кредитной организации.</w:t>
      </w:r>
      <w:r w:rsidRPr="0012143D">
        <w:t xml:space="preserve"> </w:t>
      </w:r>
      <w:r w:rsidR="001A6440" w:rsidRPr="0012143D">
        <w:t>Условия предоставления данной услуги:</w:t>
      </w:r>
    </w:p>
    <w:p w:rsidR="001A6440" w:rsidRPr="0012143D" w:rsidRDefault="001A6440" w:rsidP="00A1100E">
      <w:pPr>
        <w:pStyle w:val="a9"/>
        <w:numPr>
          <w:ilvl w:val="0"/>
          <w:numId w:val="6"/>
        </w:numPr>
      </w:pPr>
      <w:r w:rsidRPr="0012143D">
        <w:t xml:space="preserve">Клиент предоставляет Брокеру заявление на открытие </w:t>
      </w:r>
      <w:r w:rsidR="00EF456A" w:rsidRPr="0012143D">
        <w:t>Счёта</w:t>
      </w:r>
      <w:r w:rsidRPr="0012143D">
        <w:t>;</w:t>
      </w:r>
    </w:p>
    <w:p w:rsidR="001A6440" w:rsidRPr="0012143D" w:rsidRDefault="001A6440" w:rsidP="00A1100E">
      <w:pPr>
        <w:pStyle w:val="a9"/>
        <w:numPr>
          <w:ilvl w:val="0"/>
          <w:numId w:val="6"/>
        </w:numPr>
      </w:pPr>
      <w:r w:rsidRPr="0012143D">
        <w:t>Клиент возмещает Брокеру расходы в сумме комиссии кредитной организации за открытие</w:t>
      </w:r>
      <w:r w:rsidR="00EF456A" w:rsidRPr="0012143D">
        <w:t xml:space="preserve"> Счёта</w:t>
      </w:r>
      <w:r w:rsidRPr="0012143D">
        <w:t>;</w:t>
      </w:r>
    </w:p>
    <w:p w:rsidR="001A6440" w:rsidRPr="0012143D" w:rsidRDefault="00F42DD7" w:rsidP="00A1100E">
      <w:pPr>
        <w:pStyle w:val="a9"/>
        <w:numPr>
          <w:ilvl w:val="0"/>
          <w:numId w:val="6"/>
        </w:numPr>
      </w:pPr>
      <w:r w:rsidRPr="0012143D">
        <w:t>Клиент</w:t>
      </w:r>
      <w:r w:rsidR="001A6440" w:rsidRPr="0012143D">
        <w:t xml:space="preserve"> оплачивает Брокеру комиссию за услуги </w:t>
      </w:r>
      <w:r w:rsidR="00C5274D" w:rsidRPr="0012143D">
        <w:t>по обработке</w:t>
      </w:r>
      <w:r w:rsidR="001A6440" w:rsidRPr="0012143D">
        <w:t xml:space="preserve"> заявления Клиента на открытие </w:t>
      </w:r>
      <w:r w:rsidR="00EF456A" w:rsidRPr="0012143D">
        <w:t>Счёта</w:t>
      </w:r>
      <w:r w:rsidR="00C5274D" w:rsidRPr="0012143D">
        <w:t xml:space="preserve"> и</w:t>
      </w:r>
      <w:r w:rsidR="001A6440" w:rsidRPr="0012143D">
        <w:t xml:space="preserve"> комиссию за услуги по обработке поручений (</w:t>
      </w:r>
      <w:r w:rsidR="00C5274D" w:rsidRPr="0012143D">
        <w:t>документов) Клиента</w:t>
      </w:r>
      <w:r w:rsidR="001A6440" w:rsidRPr="0012143D">
        <w:t xml:space="preserve"> в случае ведения </w:t>
      </w:r>
      <w:r w:rsidR="00EF456A" w:rsidRPr="0012143D">
        <w:t>Счёта</w:t>
      </w:r>
      <w:r w:rsidR="001A6440" w:rsidRPr="0012143D">
        <w:t xml:space="preserve">, открытого по заявлению Клиента, в соответствии с </w:t>
      </w:r>
      <w:r w:rsidR="00EF456A" w:rsidRPr="0012143D">
        <w:t>Т</w:t>
      </w:r>
      <w:r w:rsidR="001A6440" w:rsidRPr="0012143D">
        <w:t>арифами Брокера, действующими на момент фактического оказания услуг</w:t>
      </w:r>
      <w:r w:rsidR="00EF456A" w:rsidRPr="0012143D">
        <w:t>и</w:t>
      </w:r>
      <w:r w:rsidR="001A6440" w:rsidRPr="0012143D">
        <w:t>.</w:t>
      </w:r>
    </w:p>
    <w:p w:rsidR="001A6440" w:rsidRPr="0012143D" w:rsidRDefault="00A1100E" w:rsidP="00A1100E">
      <w:pPr>
        <w:ind w:firstLine="567"/>
      </w:pPr>
      <w:bookmarkStart w:id="1" w:name="_Ref326681158"/>
      <w:r w:rsidRPr="0012143D">
        <w:rPr>
          <w:b/>
        </w:rPr>
        <w:t>3</w:t>
      </w:r>
      <w:r w:rsidRPr="0012143D">
        <w:t>. </w:t>
      </w:r>
      <w:r w:rsidR="001A6440" w:rsidRPr="0012143D">
        <w:t>Брокер вправе безвозмездно использовать в своих интересах переданные ему денежные средства Клиента, гарантируя исполнение Поручений Клиента, которые должны быть исполнены за счет используемых денежных средств, если иное не установлено дополнительным соглашением Сторон и/или законодательством РФ. Брокер по своему усмотрению определяет сроки и место использования свободных денежных средств Клиента.</w:t>
      </w:r>
      <w:bookmarkEnd w:id="1"/>
    </w:p>
    <w:p w:rsidR="001A6440" w:rsidRPr="0012143D" w:rsidRDefault="00A1100E" w:rsidP="00A1100E">
      <w:pPr>
        <w:ind w:firstLine="567"/>
      </w:pPr>
      <w:r w:rsidRPr="0012143D">
        <w:rPr>
          <w:b/>
        </w:rPr>
        <w:t>4</w:t>
      </w:r>
      <w:r w:rsidRPr="0012143D">
        <w:t>. </w:t>
      </w:r>
      <w:r w:rsidR="001A6440" w:rsidRPr="0012143D">
        <w:t>Денежные средства Клиента, используемые Брокером, могут быть переведены с Специального брокерского счета (и/или со счета клиринговой организации, участником которой является Брокер, в расчетной организации) на собственный счет Брокера, предназначенный для учета собственных денежных средств. При этом при поступлении от Клиента Поручения на покупку ценных бумаг, Брокер вправе осуществлять расчеты по сделке (сделкам), совершенной во исполнение Поручения, с собственного счета Брокера, без предварительного перечисления денежных средств Клиента на Специальный брокерский счет. Клиент вправе в любое время потребовать возврата всей суммы или части принадлежащих ему денежных средств, находящихся на Специальном брокерском счете или на собственном счете Брокера.</w:t>
      </w:r>
    </w:p>
    <w:p w:rsidR="001A6440" w:rsidRPr="0012143D" w:rsidRDefault="00A1100E" w:rsidP="00A1100E">
      <w:pPr>
        <w:ind w:firstLine="567"/>
      </w:pPr>
      <w:r w:rsidRPr="0012143D">
        <w:rPr>
          <w:b/>
        </w:rPr>
        <w:t>5</w:t>
      </w:r>
      <w:r w:rsidRPr="0012143D">
        <w:t>. </w:t>
      </w:r>
      <w:r w:rsidR="001A6440" w:rsidRPr="0012143D">
        <w:t>Объединение средств Клиента на одном счете со средствами других клиентов и (или) предоставление Брокеру возможности использовать денежные средства Клиента может нести в себе риск возникновения убытков, вызванный возможным негат</w:t>
      </w:r>
      <w:r w:rsidR="00C5274D" w:rsidRPr="0012143D">
        <w:t xml:space="preserve">ивным влиянием ряда фактов, </w:t>
      </w:r>
      <w:proofErr w:type="gramStart"/>
      <w:r w:rsidR="00AB7951" w:rsidRPr="0012143D">
        <w:t>как то</w:t>
      </w:r>
      <w:proofErr w:type="gramEnd"/>
      <w:r w:rsidR="001A6440" w:rsidRPr="0012143D">
        <w:t>:</w:t>
      </w:r>
    </w:p>
    <w:p w:rsidR="001A6440" w:rsidRPr="0012143D" w:rsidRDefault="001A6440" w:rsidP="00A1100E">
      <w:pPr>
        <w:pStyle w:val="a9"/>
        <w:numPr>
          <w:ilvl w:val="0"/>
          <w:numId w:val="7"/>
        </w:numPr>
      </w:pPr>
      <w:r w:rsidRPr="0012143D">
        <w:t>риск недостачи денежных средств из-за перерасхода денежных средств на операции другого клиента вследствие ошибки сотрудников Брокера либо сбоя программного обеспечения;</w:t>
      </w:r>
    </w:p>
    <w:p w:rsidR="001A6440" w:rsidRPr="0012143D" w:rsidRDefault="001A6440" w:rsidP="00A1100E">
      <w:pPr>
        <w:pStyle w:val="a9"/>
        <w:numPr>
          <w:ilvl w:val="0"/>
          <w:numId w:val="7"/>
        </w:numPr>
      </w:pPr>
      <w:r w:rsidRPr="0012143D">
        <w:t>риск неплатежа по сделке, связанный с недостачей денежных средств;</w:t>
      </w:r>
    </w:p>
    <w:p w:rsidR="001A6440" w:rsidRPr="0012143D" w:rsidRDefault="001A6440" w:rsidP="00A1100E">
      <w:pPr>
        <w:pStyle w:val="a9"/>
        <w:numPr>
          <w:ilvl w:val="0"/>
          <w:numId w:val="7"/>
        </w:numPr>
      </w:pPr>
      <w:r w:rsidRPr="0012143D">
        <w:t>риск невозврата денежных средств;</w:t>
      </w:r>
    </w:p>
    <w:p w:rsidR="00C5274D" w:rsidRPr="0012143D" w:rsidRDefault="001A6440" w:rsidP="00A1100E">
      <w:pPr>
        <w:pStyle w:val="a9"/>
        <w:numPr>
          <w:ilvl w:val="0"/>
          <w:numId w:val="7"/>
        </w:numPr>
      </w:pPr>
      <w:r w:rsidRPr="0012143D">
        <w:t>риск просрочки возврата денежных средств.</w:t>
      </w:r>
    </w:p>
    <w:p w:rsidR="001A6440" w:rsidRPr="0012143D" w:rsidRDefault="001A6440" w:rsidP="00A1100E">
      <w:pPr>
        <w:ind w:firstLine="567"/>
      </w:pPr>
      <w:r w:rsidRPr="0012143D">
        <w:t xml:space="preserve">Перечень указанных выше рисков и факторов, влекущих к возникновению рисков, не является исчерпывающим, в связи с чем Клиент может нести дополнительные риски, связанные с объединением средств Клиента на одном счете со средствами других клиентов и (или) связанные с предоставлением Брокеру возможности использовать денежные средства Клиента. </w:t>
      </w:r>
    </w:p>
    <w:p w:rsidR="00F7154F" w:rsidRPr="00A1100E" w:rsidRDefault="001A6440" w:rsidP="00A1100E">
      <w:pPr>
        <w:rPr>
          <w:b/>
        </w:rPr>
      </w:pPr>
      <w:r w:rsidRPr="0012143D">
        <w:rPr>
          <w:b/>
        </w:rPr>
        <w:t xml:space="preserve">Подача Клиентом заявления о присоединении к Соглашению об обслуживании </w:t>
      </w:r>
      <w:r w:rsidR="001A5D13">
        <w:rPr>
          <w:b/>
        </w:rPr>
        <w:t xml:space="preserve">кредитных организаций </w:t>
      </w:r>
      <w:r w:rsidRPr="0012143D">
        <w:rPr>
          <w:b/>
        </w:rPr>
        <w:t xml:space="preserve">на рынке ценных бумаг и срочном рынке с </w:t>
      </w:r>
      <w:r w:rsidR="00C5274D" w:rsidRPr="0012143D">
        <w:rPr>
          <w:b/>
        </w:rPr>
        <w:t xml:space="preserve">ООО «ББР БРОКЕР» </w:t>
      </w:r>
      <w:r w:rsidRPr="0012143D">
        <w:rPr>
          <w:b/>
        </w:rPr>
        <w:t xml:space="preserve">означает, что Клиент ознакомился с настоящим </w:t>
      </w:r>
      <w:r w:rsidR="00A1100E" w:rsidRPr="0012143D">
        <w:rPr>
          <w:b/>
        </w:rPr>
        <w:t>У</w:t>
      </w:r>
      <w:r w:rsidRPr="0012143D">
        <w:rPr>
          <w:b/>
        </w:rPr>
        <w:t>ведомлением.</w:t>
      </w:r>
      <w:r w:rsidRPr="00A1100E">
        <w:rPr>
          <w:b/>
        </w:rPr>
        <w:t xml:space="preserve"> </w:t>
      </w:r>
    </w:p>
    <w:sectPr w:rsidR="00F7154F" w:rsidRPr="00A1100E" w:rsidSect="00A1100E">
      <w:footerReference w:type="default" r:id="rId8"/>
      <w:pgSz w:w="11906" w:h="16838"/>
      <w:pgMar w:top="1134" w:right="850" w:bottom="1134" w:left="1701" w:header="27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78" w:rsidRDefault="00BA3C78" w:rsidP="001A6440">
      <w:r>
        <w:separator/>
      </w:r>
    </w:p>
  </w:endnote>
  <w:endnote w:type="continuationSeparator" w:id="0">
    <w:p w:rsidR="00BA3C78" w:rsidRDefault="00BA3C78" w:rsidP="001A6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034751"/>
      <w:docPartObj>
        <w:docPartGallery w:val="Page Numbers (Bottom of Page)"/>
        <w:docPartUnique/>
      </w:docPartObj>
    </w:sdtPr>
    <w:sdtEndPr/>
    <w:sdtContent>
      <w:p w:rsidR="00A1100E" w:rsidRDefault="00A1100E">
        <w:pPr>
          <w:pStyle w:val="a7"/>
          <w:jc w:val="right"/>
        </w:pPr>
        <w:r>
          <w:fldChar w:fldCharType="begin"/>
        </w:r>
        <w:r>
          <w:instrText>PAGE   \* MERGEFORMAT</w:instrText>
        </w:r>
        <w:r>
          <w:fldChar w:fldCharType="separate"/>
        </w:r>
        <w:r w:rsidR="00930F2B">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78" w:rsidRDefault="00BA3C78" w:rsidP="001A6440">
      <w:r>
        <w:separator/>
      </w:r>
    </w:p>
  </w:footnote>
  <w:footnote w:type="continuationSeparator" w:id="0">
    <w:p w:rsidR="00BA3C78" w:rsidRDefault="00BA3C78" w:rsidP="001A64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31C4E"/>
    <w:multiLevelType w:val="singleLevel"/>
    <w:tmpl w:val="FF3C5E28"/>
    <w:lvl w:ilvl="0">
      <w:start w:val="7"/>
      <w:numFmt w:val="bullet"/>
      <w:lvlText w:val=""/>
      <w:lvlJc w:val="left"/>
      <w:pPr>
        <w:tabs>
          <w:tab w:val="num" w:pos="851"/>
        </w:tabs>
        <w:ind w:left="851" w:hanging="397"/>
      </w:pPr>
      <w:rPr>
        <w:rFonts w:ascii="Symbol" w:hAnsi="Symbol" w:hint="default"/>
      </w:rPr>
    </w:lvl>
  </w:abstractNum>
  <w:abstractNum w:abstractNumId="1" w15:restartNumberingAfterBreak="0">
    <w:nsid w:val="0D337DE5"/>
    <w:multiLevelType w:val="hybridMultilevel"/>
    <w:tmpl w:val="218AF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923924"/>
    <w:multiLevelType w:val="hybridMultilevel"/>
    <w:tmpl w:val="952AF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AD4976"/>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701E7D9F"/>
    <w:multiLevelType w:val="singleLevel"/>
    <w:tmpl w:val="FF3C5E28"/>
    <w:lvl w:ilvl="0">
      <w:start w:val="7"/>
      <w:numFmt w:val="bullet"/>
      <w:lvlText w:val=""/>
      <w:lvlJc w:val="left"/>
      <w:pPr>
        <w:tabs>
          <w:tab w:val="num" w:pos="851"/>
        </w:tabs>
        <w:ind w:left="851" w:hanging="397"/>
      </w:pPr>
      <w:rPr>
        <w:rFonts w:ascii="Symbol" w:hAnsi="Symbol" w:hint="default"/>
      </w:rPr>
    </w:lvl>
  </w:abstractNum>
  <w:abstractNum w:abstractNumId="5" w15:restartNumberingAfterBreak="0">
    <w:nsid w:val="75337E51"/>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790464EA"/>
    <w:multiLevelType w:val="hybridMultilevel"/>
    <w:tmpl w:val="83EED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1B2"/>
    <w:rsid w:val="000E28BE"/>
    <w:rsid w:val="000E6722"/>
    <w:rsid w:val="0012143D"/>
    <w:rsid w:val="0018595E"/>
    <w:rsid w:val="001A5D13"/>
    <w:rsid w:val="001A6440"/>
    <w:rsid w:val="00233710"/>
    <w:rsid w:val="0030546E"/>
    <w:rsid w:val="003D6CC8"/>
    <w:rsid w:val="00466A93"/>
    <w:rsid w:val="005622A1"/>
    <w:rsid w:val="0077736B"/>
    <w:rsid w:val="008D40FC"/>
    <w:rsid w:val="00930F2B"/>
    <w:rsid w:val="009515A0"/>
    <w:rsid w:val="0096776A"/>
    <w:rsid w:val="0097188B"/>
    <w:rsid w:val="009B2076"/>
    <w:rsid w:val="00A001B2"/>
    <w:rsid w:val="00A1100E"/>
    <w:rsid w:val="00AB7709"/>
    <w:rsid w:val="00AB7951"/>
    <w:rsid w:val="00AC5FA7"/>
    <w:rsid w:val="00BA3C78"/>
    <w:rsid w:val="00BF76F8"/>
    <w:rsid w:val="00C5274D"/>
    <w:rsid w:val="00D26A5C"/>
    <w:rsid w:val="00D85D39"/>
    <w:rsid w:val="00DE083D"/>
    <w:rsid w:val="00DF238D"/>
    <w:rsid w:val="00E46674"/>
    <w:rsid w:val="00EF456A"/>
    <w:rsid w:val="00F42DD7"/>
    <w:rsid w:val="00F71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A2F646-6DFF-4848-927E-494303DE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00E"/>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A6440"/>
    <w:pPr>
      <w:spacing w:after="120"/>
    </w:pPr>
  </w:style>
  <w:style w:type="character" w:customStyle="1" w:styleId="a4">
    <w:name w:val="Основной текст Знак"/>
    <w:basedOn w:val="a0"/>
    <w:link w:val="a3"/>
    <w:uiPriority w:val="99"/>
    <w:semiHidden/>
    <w:rsid w:val="001A6440"/>
  </w:style>
  <w:style w:type="paragraph" w:styleId="a5">
    <w:name w:val="header"/>
    <w:basedOn w:val="a"/>
    <w:link w:val="a6"/>
    <w:uiPriority w:val="99"/>
    <w:semiHidden/>
    <w:rsid w:val="001A6440"/>
    <w:pPr>
      <w:tabs>
        <w:tab w:val="center" w:pos="4677"/>
        <w:tab w:val="right" w:pos="9355"/>
      </w:tabs>
    </w:pPr>
    <w:rPr>
      <w:rFonts w:eastAsia="Times New Roman" w:cs="Times New Roman"/>
      <w:szCs w:val="24"/>
      <w:lang w:eastAsia="ru-RU"/>
    </w:rPr>
  </w:style>
  <w:style w:type="character" w:customStyle="1" w:styleId="a6">
    <w:name w:val="Верхний колонтитул Знак"/>
    <w:basedOn w:val="a0"/>
    <w:link w:val="a5"/>
    <w:uiPriority w:val="99"/>
    <w:semiHidden/>
    <w:rsid w:val="001A6440"/>
    <w:rPr>
      <w:rFonts w:ascii="Times New Roman" w:eastAsia="Times New Roman" w:hAnsi="Times New Roman" w:cs="Times New Roman"/>
      <w:sz w:val="24"/>
      <w:szCs w:val="24"/>
      <w:lang w:eastAsia="ru-RU"/>
    </w:rPr>
  </w:style>
  <w:style w:type="paragraph" w:styleId="a7">
    <w:name w:val="footer"/>
    <w:basedOn w:val="a"/>
    <w:link w:val="a8"/>
    <w:uiPriority w:val="99"/>
    <w:rsid w:val="001A6440"/>
    <w:pPr>
      <w:tabs>
        <w:tab w:val="center" w:pos="4677"/>
        <w:tab w:val="right" w:pos="9355"/>
      </w:tabs>
    </w:pPr>
    <w:rPr>
      <w:rFonts w:eastAsia="Times New Roman" w:cs="Times New Roman"/>
      <w:szCs w:val="24"/>
      <w:lang w:eastAsia="ru-RU"/>
    </w:rPr>
  </w:style>
  <w:style w:type="character" w:customStyle="1" w:styleId="a8">
    <w:name w:val="Нижний колонтитул Знак"/>
    <w:basedOn w:val="a0"/>
    <w:link w:val="a7"/>
    <w:uiPriority w:val="99"/>
    <w:rsid w:val="001A6440"/>
    <w:rPr>
      <w:rFonts w:ascii="Times New Roman" w:eastAsia="Times New Roman" w:hAnsi="Times New Roman" w:cs="Times New Roman"/>
      <w:sz w:val="24"/>
      <w:szCs w:val="24"/>
      <w:lang w:eastAsia="ru-RU"/>
    </w:rPr>
  </w:style>
  <w:style w:type="paragraph" w:styleId="a9">
    <w:name w:val="List Paragraph"/>
    <w:basedOn w:val="a"/>
    <w:link w:val="aa"/>
    <w:uiPriority w:val="34"/>
    <w:qFormat/>
    <w:rsid w:val="00C5274D"/>
    <w:pPr>
      <w:ind w:left="720"/>
      <w:contextualSpacing/>
    </w:pPr>
  </w:style>
  <w:style w:type="character" w:customStyle="1" w:styleId="aa">
    <w:name w:val="Абзац списка Знак"/>
    <w:basedOn w:val="a0"/>
    <w:link w:val="a9"/>
    <w:uiPriority w:val="34"/>
    <w:rsid w:val="00D85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84780-71C1-4460-9A89-EFCD40AD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496</Words>
  <Characters>2830</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Цуркану</dc:creator>
  <cp:keywords/>
  <dc:description/>
  <cp:lastModifiedBy>Овчинников Тарас Александрович</cp:lastModifiedBy>
  <cp:revision>23</cp:revision>
  <dcterms:created xsi:type="dcterms:W3CDTF">2021-07-15T08:29:00Z</dcterms:created>
  <dcterms:modified xsi:type="dcterms:W3CDTF">2022-11-02T14:01:00Z</dcterms:modified>
</cp:coreProperties>
</file>